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BD" w:rsidRDefault="004027BD" w:rsidP="00402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PA" w:eastAsia="es-PA"/>
        </w:rPr>
        <w:drawing>
          <wp:inline distT="0" distB="0" distL="0" distR="0" wp14:anchorId="7B42FD8A" wp14:editId="5405880D">
            <wp:extent cx="1093741" cy="503834"/>
            <wp:effectExtent l="0" t="0" r="0" b="0"/>
            <wp:docPr id="1" name="Imagen 1" descr="Clínicas de UDELAS (@CIAES_UDELA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ínicas de UDELAS (@CIAES_UDELAS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87" b="27448"/>
                    <a:stretch/>
                  </pic:blipFill>
                  <pic:spPr bwMode="auto">
                    <a:xfrm>
                      <a:off x="0" y="0"/>
                      <a:ext cx="1129762" cy="5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7BD" w:rsidRDefault="004027BD" w:rsidP="00402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UDELAS: Unida hacia la excelencia </w:t>
      </w:r>
    </w:p>
    <w:p w:rsidR="004027BD" w:rsidRDefault="004027BD" w:rsidP="00402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Currículo y Desarrollo Docente</w:t>
      </w:r>
    </w:p>
    <w:p w:rsidR="004027BD" w:rsidRDefault="004027BD" w:rsidP="00402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7BD" w:rsidRPr="007150A4" w:rsidRDefault="004027BD" w:rsidP="00402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50A4">
        <w:rPr>
          <w:rFonts w:ascii="Arial" w:hAnsi="Arial" w:cs="Arial"/>
          <w:b/>
          <w:sz w:val="24"/>
          <w:szCs w:val="24"/>
        </w:rPr>
        <w:t xml:space="preserve">Glosario </w:t>
      </w:r>
    </w:p>
    <w:p w:rsidR="004027BD" w:rsidRPr="007150A4" w:rsidRDefault="004027BD" w:rsidP="0040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Terminología Básica para el Componente Pedagógico</w:t>
      </w:r>
    </w:p>
    <w:tbl>
      <w:tblPr>
        <w:tblStyle w:val="Tablaconcuadrcula"/>
        <w:tblW w:w="13486" w:type="dxa"/>
        <w:tblLook w:val="04A0" w:firstRow="1" w:lastRow="0" w:firstColumn="1" w:lastColumn="0" w:noHBand="0" w:noVBand="1"/>
      </w:tblPr>
      <w:tblGrid>
        <w:gridCol w:w="607"/>
        <w:gridCol w:w="3973"/>
        <w:gridCol w:w="8906"/>
      </w:tblGrid>
      <w:tr w:rsidR="004027BD" w:rsidRPr="007150A4" w:rsidTr="002C624E">
        <w:trPr>
          <w:trHeight w:val="272"/>
        </w:trPr>
        <w:tc>
          <w:tcPr>
            <w:tcW w:w="607" w:type="dxa"/>
          </w:tcPr>
          <w:p w:rsidR="004027BD" w:rsidRPr="007150A4" w:rsidRDefault="004027BD" w:rsidP="002C62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0A4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973" w:type="dxa"/>
          </w:tcPr>
          <w:p w:rsidR="004027BD" w:rsidRPr="007150A4" w:rsidRDefault="004027BD" w:rsidP="002C62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0A4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8906" w:type="dxa"/>
          </w:tcPr>
          <w:p w:rsidR="004027BD" w:rsidRPr="007150A4" w:rsidRDefault="004027BD" w:rsidP="002C62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0A4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A75C66" w:rsidRPr="007150A4" w:rsidTr="002C624E">
        <w:trPr>
          <w:trHeight w:val="272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una disciplina o área del saber que forma parte del Plan de Estudio de una carrera que son enseñadas a los estudiantes.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Autoevaluación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evaluación realizada por el participante con el fin de que sea autocrítico y honrado con su propio aprendizaje.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Coevaluación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 w:rsidRPr="00430A10">
              <w:rPr>
                <w:rFonts w:ascii="Arial" w:hAnsi="Arial" w:cs="Arial"/>
                <w:bCs/>
                <w:sz w:val="24"/>
                <w:szCs w:val="24"/>
              </w:rPr>
              <w:t>Tipo de evaluación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3344A">
              <w:rPr>
                <w:rFonts w:ascii="Arial" w:hAnsi="Arial" w:cs="Arial"/>
                <w:bCs/>
                <w:sz w:val="24"/>
                <w:szCs w:val="24"/>
              </w:rPr>
              <w:t>en la cual los</w:t>
            </w:r>
            <w:r>
              <w:rPr>
                <w:rFonts w:ascii="Arial" w:hAnsi="Arial" w:cs="Arial"/>
                <w:sz w:val="24"/>
                <w:szCs w:val="24"/>
              </w:rPr>
              <w:t xml:space="preserve"> estudiantes se evalúan entre ellos, estimulando la</w:t>
            </w:r>
            <w:r w:rsidRPr="00430A10">
              <w:rPr>
                <w:rFonts w:ascii="Arial" w:hAnsi="Arial" w:cs="Arial"/>
                <w:sz w:val="24"/>
                <w:szCs w:val="24"/>
              </w:rPr>
              <w:t xml:space="preserve"> actitud e interés de los distintos integrantes del equipo</w:t>
            </w:r>
            <w:r>
              <w:rPr>
                <w:rFonts w:ascii="Arial" w:hAnsi="Arial" w:cs="Arial"/>
                <w:sz w:val="24"/>
                <w:szCs w:val="24"/>
              </w:rPr>
              <w:t xml:space="preserve"> o grupo.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una combinación dinámica de atributos relativos al conocimiento y su aplicación, a actitudes y responsabilidades, con cierto nivel de calidad y de manera flexible y autónoma.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 G</w:t>
            </w:r>
            <w:r w:rsidRPr="0061508E">
              <w:rPr>
                <w:rFonts w:ascii="Arial" w:hAnsi="Arial" w:cs="Arial"/>
                <w:sz w:val="24"/>
                <w:szCs w:val="24"/>
              </w:rPr>
              <w:t>lobal</w:t>
            </w:r>
          </w:p>
        </w:tc>
        <w:tc>
          <w:tcPr>
            <w:tcW w:w="8906" w:type="dxa"/>
          </w:tcPr>
          <w:p w:rsidR="00A75C66" w:rsidRDefault="00A75C66" w:rsidP="0061508E">
            <w:pPr>
              <w:rPr>
                <w:rFonts w:ascii="Arial" w:hAnsi="Arial" w:cs="Arial"/>
                <w:sz w:val="24"/>
                <w:szCs w:val="24"/>
              </w:rPr>
            </w:pPr>
            <w:r w:rsidRPr="0061508E">
              <w:rPr>
                <w:rFonts w:ascii="Arial" w:hAnsi="Arial" w:cs="Arial"/>
                <w:sz w:val="24"/>
                <w:szCs w:val="24"/>
              </w:rPr>
              <w:t xml:space="preserve">La es </w:t>
            </w:r>
            <w:r>
              <w:rPr>
                <w:rFonts w:ascii="Arial" w:hAnsi="Arial" w:cs="Arial"/>
                <w:sz w:val="24"/>
                <w:szCs w:val="24"/>
              </w:rPr>
              <w:t>la capacidad de analizar temas</w:t>
            </w:r>
            <w:r w:rsidRPr="0061508E">
              <w:rPr>
                <w:rFonts w:ascii="Arial" w:hAnsi="Arial" w:cs="Arial"/>
                <w:sz w:val="24"/>
                <w:szCs w:val="24"/>
              </w:rPr>
              <w:t xml:space="preserve"> globales</w:t>
            </w:r>
            <w:r>
              <w:rPr>
                <w:rFonts w:ascii="Arial" w:hAnsi="Arial" w:cs="Arial"/>
                <w:sz w:val="24"/>
                <w:szCs w:val="24"/>
              </w:rPr>
              <w:t>, internacionales</w:t>
            </w:r>
            <w:r w:rsidRPr="0061508E">
              <w:rPr>
                <w:rFonts w:ascii="Arial" w:hAnsi="Arial" w:cs="Arial"/>
                <w:sz w:val="24"/>
                <w:szCs w:val="24"/>
              </w:rPr>
              <w:t xml:space="preserve"> e i</w:t>
            </w:r>
            <w:r>
              <w:rPr>
                <w:rFonts w:ascii="Arial" w:hAnsi="Arial" w:cs="Arial"/>
                <w:sz w:val="24"/>
                <w:szCs w:val="24"/>
              </w:rPr>
              <w:t xml:space="preserve">nterculturales, implica: el respeto a </w:t>
            </w:r>
            <w:r w:rsidRPr="0061508E">
              <w:rPr>
                <w:rFonts w:ascii="Arial" w:hAnsi="Arial" w:cs="Arial"/>
                <w:sz w:val="24"/>
                <w:szCs w:val="24"/>
              </w:rPr>
              <w:t>los derechos humanos</w:t>
            </w:r>
            <w:r>
              <w:rPr>
                <w:rFonts w:ascii="Arial" w:hAnsi="Arial" w:cs="Arial"/>
                <w:sz w:val="24"/>
                <w:szCs w:val="24"/>
              </w:rPr>
              <w:t>, la inclusión, el multilingüismo así como también el abordaje de temas actuales,  lo que le permite al discente</w:t>
            </w:r>
            <w:r w:rsidRPr="0061508E">
              <w:rPr>
                <w:rFonts w:ascii="Arial" w:hAnsi="Arial" w:cs="Arial"/>
                <w:sz w:val="24"/>
                <w:szCs w:val="24"/>
              </w:rPr>
              <w:t xml:space="preserve"> interrelacionarse con personas de diferentes culturas, emprender acciones por el bien co</w:t>
            </w:r>
            <w:r>
              <w:rPr>
                <w:rFonts w:ascii="Arial" w:hAnsi="Arial" w:cs="Arial"/>
                <w:sz w:val="24"/>
                <w:szCs w:val="24"/>
              </w:rPr>
              <w:t>mún y el desarrollo sostenible.</w:t>
            </w:r>
          </w:p>
          <w:p w:rsidR="00A75C66" w:rsidRPr="007150A4" w:rsidRDefault="00A75C66" w:rsidP="006150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8906" w:type="dxa"/>
          </w:tcPr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Disciplina o área del saber que corresponde al nivel académico de postgrado. </w:t>
            </w:r>
          </w:p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Curricular</w:t>
            </w:r>
          </w:p>
        </w:tc>
        <w:tc>
          <w:tcPr>
            <w:tcW w:w="8906" w:type="dxa"/>
          </w:tcPr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Constituye la forma en que se organizan los elementos o componentes curriculares básicos, es el modelo, esquema o estructura de organización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utilizado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para planificar, organizar e implementar una carrera.</w:t>
            </w:r>
          </w:p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72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a Distancia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formal basada en la que el grupo de aprendizaje se separa y en la que se utilizan sistemas de telecomunicaciones interactivos para conectar a estudiantes, recursos e instructores cuyos componentes principales son: la institución, las telecomunicaciones, experiencias de aprendizaje y el tiempo entre el profesor y el estudiante.(sincronía y asincronía)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Semipresencial, DUAL o Híbrida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 de educación a distancia que combina contactos presenciales y a distancia con el estudiante.</w:t>
            </w:r>
          </w:p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Virtual/ E-Learning</w:t>
            </w:r>
          </w:p>
        </w:tc>
        <w:tc>
          <w:tcPr>
            <w:tcW w:w="8906" w:type="dxa"/>
          </w:tcPr>
          <w:p w:rsidR="00A75C66" w:rsidRDefault="00A75C66" w:rsidP="00430A10">
            <w:pPr>
              <w:rPr>
                <w:rFonts w:ascii="Arial" w:hAnsi="Arial" w:cs="Arial"/>
                <w:sz w:val="24"/>
                <w:szCs w:val="24"/>
              </w:rPr>
            </w:pPr>
            <w:r w:rsidRPr="00DB51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Modelo de educación a distancia que </w:t>
            </w:r>
            <w:r w:rsidRPr="00DB51EA">
              <w:rPr>
                <w:rFonts w:ascii="Arial" w:hAnsi="Arial" w:cs="Arial"/>
                <w:sz w:val="24"/>
                <w:szCs w:val="24"/>
              </w:rPr>
              <w:t>permite la aplicación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nuevos modelos pedagógicos utilizando como medio de comunicación el Internet,</w:t>
            </w:r>
            <w:r w:rsidRPr="00DB51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así como también medios y recursos didácticos digitales para desarrollar </w:t>
            </w:r>
            <w:r w:rsidRPr="00DB51EA">
              <w:rPr>
                <w:rFonts w:ascii="Arial" w:hAnsi="Arial" w:cs="Arial"/>
                <w:sz w:val="24"/>
                <w:szCs w:val="24"/>
              </w:rPr>
              <w:t>programas de formación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académica</w:t>
            </w:r>
            <w:r w:rsidRPr="00DB51EA">
              <w:rPr>
                <w:rFonts w:ascii="Arial" w:hAnsi="Arial" w:cs="Arial"/>
                <w:sz w:val="24"/>
                <w:szCs w:val="24"/>
              </w:rPr>
              <w:t> </w:t>
            </w:r>
            <w:r w:rsidRPr="00430A10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r w:rsidRPr="00430A10">
              <w:rPr>
                <w:rFonts w:ascii="Arial" w:hAnsi="Arial" w:cs="Arial"/>
                <w:sz w:val="24"/>
                <w:szCs w:val="24"/>
              </w:rPr>
              <w:t> t</w:t>
            </w:r>
            <w:r w:rsidRPr="00DB51EA">
              <w:rPr>
                <w:rFonts w:ascii="Arial" w:hAnsi="Arial" w:cs="Arial"/>
                <w:sz w:val="24"/>
                <w:szCs w:val="24"/>
              </w:rPr>
              <w:t xml:space="preserve">ienen como escenario de enseñanza y aprendizaje el ciberespacio. </w:t>
            </w:r>
          </w:p>
          <w:p w:rsidR="00A75C66" w:rsidRDefault="00A75C66" w:rsidP="00430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Entornos Virtuales de Aprendizaje</w:t>
            </w:r>
          </w:p>
        </w:tc>
        <w:tc>
          <w:tcPr>
            <w:tcW w:w="8906" w:type="dxa"/>
          </w:tcPr>
          <w:p w:rsidR="00A75C66" w:rsidRDefault="00884A77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Espacio </w:t>
            </w:r>
            <w:r w:rsidR="00A75C66">
              <w:rPr>
                <w:rFonts w:ascii="Arial" w:hAnsi="Arial" w:cs="Arial"/>
                <w:sz w:val="24"/>
                <w:szCs w:val="24"/>
              </w:rPr>
              <w:t>de aprendizaje no presencial, o a distancia, que utiliza medios electrónico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75C66">
              <w:rPr>
                <w:rFonts w:ascii="Arial" w:hAnsi="Arial" w:cs="Arial"/>
                <w:sz w:val="24"/>
                <w:szCs w:val="24"/>
              </w:rPr>
              <w:t xml:space="preserve"> y de Internet para hacer posible la interacción entre los distintos agentes y elementos que en ella participan: estudiantes, profesor, materiales, entorno y recursos.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72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 de Enseñanza y Aprendizaje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10505">
              <w:rPr>
                <w:rFonts w:ascii="Arial" w:hAnsi="Arial" w:cs="Arial"/>
                <w:sz w:val="24"/>
                <w:szCs w:val="24"/>
              </w:rPr>
              <w:t>rocedimientos y recursos </w:t>
            </w:r>
            <w:r w:rsidRPr="00F10505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r>
              <w:rPr>
                <w:rFonts w:ascii="Arial" w:hAnsi="Arial" w:cs="Arial"/>
                <w:sz w:val="24"/>
                <w:szCs w:val="24"/>
              </w:rPr>
              <w:t> utiliza el docente para promo</w:t>
            </w:r>
            <w:r w:rsidRPr="00F10505">
              <w:rPr>
                <w:rFonts w:ascii="Arial" w:hAnsi="Arial" w:cs="Arial"/>
                <w:sz w:val="24"/>
                <w:szCs w:val="24"/>
              </w:rPr>
              <w:t>ver aprendizajes significativ</w:t>
            </w:r>
            <w:r>
              <w:rPr>
                <w:rFonts w:ascii="Arial" w:hAnsi="Arial" w:cs="Arial"/>
                <w:sz w:val="24"/>
                <w:szCs w:val="24"/>
              </w:rPr>
              <w:t xml:space="preserve">os, facilitando al estudiante el dominio del contenido </w:t>
            </w:r>
            <w:r w:rsidRPr="00F10505">
              <w:rPr>
                <w:rFonts w:ascii="Arial" w:hAnsi="Arial" w:cs="Arial"/>
                <w:sz w:val="24"/>
                <w:szCs w:val="24"/>
              </w:rPr>
              <w:t>de ma</w:t>
            </w:r>
            <w:r w:rsidR="00884A77">
              <w:rPr>
                <w:rFonts w:ascii="Arial" w:hAnsi="Arial" w:cs="Arial"/>
                <w:sz w:val="24"/>
                <w:szCs w:val="24"/>
              </w:rPr>
              <w:t xml:space="preserve">nera más analítica y razonada. </w:t>
            </w:r>
            <w:bookmarkStart w:id="0" w:name="_GoBack"/>
            <w:bookmarkEnd w:id="0"/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530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Heteroevaluación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evaluación realizada por el docente de la asignatura o curso o también  de otros cursos o centros educativos.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de conocimientos científicos, habilidades, destrezas, actitudes y valores que deben aprender los educandos y que los docentes deben estimular para incorporarlos en la estructura cognitiva del estudiante.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Módulo de Autoaprendizaje</w:t>
            </w:r>
          </w:p>
        </w:tc>
        <w:tc>
          <w:tcPr>
            <w:tcW w:w="8906" w:type="dxa"/>
          </w:tcPr>
          <w:p w:rsidR="00A75C66" w:rsidRPr="00894D45" w:rsidRDefault="00A75C66" w:rsidP="00894D45">
            <w:pPr>
              <w:rPr>
                <w:rFonts w:ascii="Arial" w:hAnsi="Arial" w:cs="Arial"/>
                <w:sz w:val="24"/>
                <w:szCs w:val="24"/>
                <w:lang w:val="es-PA"/>
              </w:rPr>
            </w:pPr>
            <w:r>
              <w:rPr>
                <w:rFonts w:ascii="Arial" w:hAnsi="Arial" w:cs="Arial"/>
                <w:sz w:val="24"/>
                <w:szCs w:val="24"/>
                <w:lang w:val="es-PA"/>
              </w:rPr>
              <w:t xml:space="preserve">Son </w:t>
            </w:r>
            <w:r w:rsidRPr="00894D45">
              <w:rPr>
                <w:rFonts w:ascii="Arial" w:hAnsi="Arial" w:cs="Arial"/>
                <w:sz w:val="24"/>
                <w:szCs w:val="24"/>
                <w:lang w:val="es-PA"/>
              </w:rPr>
              <w:t>guías de autoaprendizaje</w:t>
            </w:r>
            <w:r>
              <w:rPr>
                <w:rFonts w:ascii="Arial" w:hAnsi="Arial" w:cs="Arial"/>
                <w:sz w:val="24"/>
                <w:szCs w:val="24"/>
                <w:lang w:val="es-PA"/>
              </w:rPr>
              <w:t xml:space="preserve"> </w:t>
            </w:r>
            <w:r w:rsidRPr="00894D45">
              <w:rPr>
                <w:rFonts w:ascii="Arial" w:hAnsi="Arial" w:cs="Arial"/>
                <w:sz w:val="24"/>
                <w:szCs w:val="24"/>
                <w:lang w:val="es-PA"/>
              </w:rPr>
              <w:t xml:space="preserve">diseñadas para que los estudiantes/participantes aprendan en forma independiente sus contenidos, </w:t>
            </w:r>
            <w:r>
              <w:rPr>
                <w:rFonts w:ascii="Arial" w:hAnsi="Arial" w:cs="Arial"/>
              </w:rPr>
              <w:t xml:space="preserve">los cuales se dividen en pequeñas secciones/subtemas/partes con una secuencia lógica, hasta lograr el dominio total del tema, </w:t>
            </w:r>
            <w:r w:rsidRPr="00894D45">
              <w:rPr>
                <w:rFonts w:ascii="Arial" w:hAnsi="Arial" w:cs="Arial"/>
                <w:sz w:val="24"/>
                <w:szCs w:val="24"/>
                <w:lang w:val="es-PA"/>
              </w:rPr>
              <w:t>lo que permite una gran flexibilidad en su uso, en términos de lugar, horario y ritmo de aprendizaje sobre todo.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Estudio</w:t>
            </w:r>
          </w:p>
        </w:tc>
        <w:tc>
          <w:tcPr>
            <w:tcW w:w="8906" w:type="dxa"/>
          </w:tcPr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de asiganturas distribuidas por semestre/cuatrimestre/años de estudio correspondiente a una carrera específica y es uno de los componentes del Diseño Curricular.</w:t>
            </w:r>
          </w:p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Analítico de Asignatura</w:t>
            </w:r>
          </w:p>
        </w:tc>
        <w:tc>
          <w:tcPr>
            <w:tcW w:w="8906" w:type="dxa"/>
          </w:tcPr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didáctico que establece</w:t>
            </w:r>
            <w:r w:rsidRPr="00BE49E5">
              <w:rPr>
                <w:rFonts w:ascii="Arial" w:hAnsi="Arial" w:cs="Arial"/>
                <w:sz w:val="24"/>
                <w:szCs w:val="24"/>
              </w:rPr>
              <w:t xml:space="preserve"> relaciones entre el </w:t>
            </w:r>
            <w:r w:rsidRPr="00BE49E5">
              <w:rPr>
                <w:rFonts w:ascii="Arial" w:hAnsi="Arial" w:cs="Arial"/>
                <w:b/>
                <w:bCs/>
                <w:sz w:val="24"/>
                <w:szCs w:val="24"/>
              </w:rPr>
              <w:t>Programa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Oficial</w:t>
            </w:r>
            <w:r w:rsidRPr="00BE49E5">
              <w:rPr>
                <w:rFonts w:ascii="Arial" w:hAnsi="Arial" w:cs="Arial"/>
                <w:sz w:val="24"/>
                <w:szCs w:val="24"/>
              </w:rPr>
              <w:t xml:space="preserve"> y el </w:t>
            </w:r>
            <w:r>
              <w:rPr>
                <w:rFonts w:ascii="Arial" w:hAnsi="Arial" w:cs="Arial"/>
                <w:b/>
                <w:sz w:val="24"/>
                <w:szCs w:val="24"/>
              </w:rPr>
              <w:t>Plan de E</w:t>
            </w:r>
            <w:r w:rsidRPr="001C2720">
              <w:rPr>
                <w:rFonts w:ascii="Arial" w:hAnsi="Arial" w:cs="Arial"/>
                <w:b/>
                <w:sz w:val="24"/>
                <w:szCs w:val="24"/>
              </w:rPr>
              <w:t>studio</w:t>
            </w:r>
            <w:r>
              <w:rPr>
                <w:rFonts w:ascii="Arial" w:hAnsi="Arial" w:cs="Arial"/>
                <w:sz w:val="24"/>
                <w:szCs w:val="24"/>
              </w:rPr>
              <w:t>, el p</w:t>
            </w:r>
            <w:r w:rsidRPr="00BE49E5">
              <w:rPr>
                <w:rFonts w:ascii="Arial" w:hAnsi="Arial" w:cs="Arial"/>
                <w:sz w:val="24"/>
                <w:szCs w:val="24"/>
              </w:rPr>
              <w:t>erfil de egreso y los objetivos curric</w:t>
            </w:r>
            <w:r>
              <w:rPr>
                <w:rFonts w:ascii="Arial" w:hAnsi="Arial" w:cs="Arial"/>
                <w:sz w:val="24"/>
                <w:szCs w:val="24"/>
              </w:rPr>
              <w:t>ulares de la carrera, se deriva del programa oficial y consta de: l</w:t>
            </w:r>
            <w:r w:rsidRPr="00BE49E5">
              <w:rPr>
                <w:rFonts w:ascii="Arial" w:hAnsi="Arial" w:cs="Arial"/>
                <w:sz w:val="24"/>
                <w:szCs w:val="24"/>
              </w:rPr>
              <w:t xml:space="preserve">a identificación y ubicación </w:t>
            </w:r>
            <w:r>
              <w:rPr>
                <w:rFonts w:ascii="Arial" w:hAnsi="Arial" w:cs="Arial"/>
                <w:sz w:val="24"/>
                <w:szCs w:val="24"/>
              </w:rPr>
              <w:t>de la asignatura en el Plan de E</w:t>
            </w:r>
            <w:r w:rsidRPr="00BE49E5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udio, los resultados de aprendizaje, contenido, actividades didácticas, medios y recursos didácticos, y evaluación de los aprendizajes. </w:t>
            </w:r>
          </w:p>
          <w:p w:rsidR="00A75C66" w:rsidRDefault="00A75C66" w:rsidP="001C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Oficial de Asignatura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didáctico</w:t>
            </w:r>
            <w:r w:rsidRPr="00AE7F03">
              <w:rPr>
                <w:rFonts w:ascii="Arial" w:hAnsi="Arial" w:cs="Arial"/>
                <w:sz w:val="24"/>
                <w:szCs w:val="24"/>
              </w:rPr>
              <w:t xml:space="preserve"> en el que se indica el porqué de la existencia de </w:t>
            </w:r>
            <w:r w:rsidRPr="00BE49E5">
              <w:rPr>
                <w:rFonts w:ascii="Arial" w:hAnsi="Arial" w:cs="Arial"/>
                <w:sz w:val="24"/>
                <w:szCs w:val="24"/>
              </w:rPr>
              <w:t>la </w:t>
            </w:r>
            <w:r w:rsidRPr="00BE49E5">
              <w:rPr>
                <w:rFonts w:ascii="Arial" w:hAnsi="Arial" w:cs="Arial"/>
                <w:bCs/>
                <w:sz w:val="24"/>
                <w:szCs w:val="24"/>
              </w:rPr>
              <w:t>asignatura</w:t>
            </w:r>
            <w:r w:rsidRPr="00AE7F03">
              <w:rPr>
                <w:rFonts w:ascii="Arial" w:hAnsi="Arial" w:cs="Arial"/>
                <w:sz w:val="24"/>
                <w:szCs w:val="24"/>
              </w:rPr>
              <w:t>, lo que se desea lograr, lo que se pretende enseñar y la forma como se verifi</w:t>
            </w:r>
            <w:r>
              <w:rPr>
                <w:rFonts w:ascii="Arial" w:hAnsi="Arial" w:cs="Arial"/>
                <w:sz w:val="24"/>
                <w:szCs w:val="24"/>
              </w:rPr>
              <w:t>cará el logro de los resultados de aprendizaje.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Pr="007150A4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Didáctico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06609">
              <w:rPr>
                <w:rFonts w:ascii="Arial" w:hAnsi="Arial" w:cs="Arial"/>
                <w:sz w:val="24"/>
                <w:szCs w:val="24"/>
              </w:rPr>
              <w:t>os recursos y materiales didácticos son todo el conjunto de elementos, útiles o estrategias que el pro</w:t>
            </w:r>
            <w:r>
              <w:rPr>
                <w:rFonts w:ascii="Arial" w:hAnsi="Arial" w:cs="Arial"/>
                <w:sz w:val="24"/>
                <w:szCs w:val="24"/>
              </w:rPr>
              <w:t>fesor utiliza</w:t>
            </w:r>
            <w:r w:rsidRPr="00E06609">
              <w:rPr>
                <w:rFonts w:ascii="Arial" w:hAnsi="Arial" w:cs="Arial"/>
                <w:sz w:val="24"/>
                <w:szCs w:val="24"/>
              </w:rPr>
              <w:t xml:space="preserve"> como soporte, complemento o ayuda en su tarea docente. Los recursos didácticos deberán considerarse siempre como un apoyo para el proceso educativo.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Aprendizaje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 w:rsidRPr="0056634C">
              <w:rPr>
                <w:rFonts w:ascii="Arial" w:hAnsi="Arial" w:cs="Arial"/>
                <w:sz w:val="24"/>
                <w:szCs w:val="24"/>
              </w:rPr>
              <w:t xml:space="preserve"> Es la verificación del logro alcanzado </w:t>
            </w:r>
            <w:r>
              <w:rPr>
                <w:rFonts w:ascii="Arial" w:hAnsi="Arial" w:cs="Arial"/>
                <w:sz w:val="24"/>
                <w:szCs w:val="24"/>
              </w:rPr>
              <w:t xml:space="preserve">por el estudiante </w:t>
            </w:r>
            <w:r w:rsidRPr="0056634C">
              <w:rPr>
                <w:rFonts w:ascii="Arial" w:hAnsi="Arial" w:cs="Arial"/>
                <w:sz w:val="24"/>
                <w:szCs w:val="24"/>
              </w:rPr>
              <w:t>al término de un proces</w:t>
            </w:r>
            <w:r>
              <w:rPr>
                <w:rFonts w:ascii="Arial" w:hAnsi="Arial" w:cs="Arial"/>
                <w:sz w:val="24"/>
                <w:szCs w:val="24"/>
              </w:rPr>
              <w:t xml:space="preserve">o formativo, en relación directa con </w:t>
            </w:r>
            <w:r w:rsidRPr="0056634C">
              <w:rPr>
                <w:rFonts w:ascii="Arial" w:hAnsi="Arial" w:cs="Arial"/>
                <w:sz w:val="24"/>
                <w:szCs w:val="24"/>
              </w:rPr>
              <w:t>la tridimensionalidad del saber: conceptual, proce</w:t>
            </w:r>
            <w:r>
              <w:rPr>
                <w:rFonts w:ascii="Arial" w:hAnsi="Arial" w:cs="Arial"/>
                <w:sz w:val="24"/>
                <w:szCs w:val="24"/>
              </w:rPr>
              <w:t xml:space="preserve">dimental y actitudinal; lo cual le permite al discente el </w:t>
            </w:r>
            <w:r w:rsidRPr="0056634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esempeño de una competencia o una parte</w:t>
            </w:r>
            <w:r w:rsidRPr="0056634C">
              <w:rPr>
                <w:rFonts w:ascii="Arial" w:hAnsi="Arial" w:cs="Arial"/>
                <w:sz w:val="24"/>
                <w:szCs w:val="24"/>
              </w:rPr>
              <w:t xml:space="preserve"> de esa competencia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C66" w:rsidRPr="007150A4" w:rsidTr="002C624E">
        <w:trPr>
          <w:trHeight w:val="257"/>
        </w:trPr>
        <w:tc>
          <w:tcPr>
            <w:tcW w:w="607" w:type="dxa"/>
          </w:tcPr>
          <w:p w:rsidR="00A75C66" w:rsidRDefault="00A75C66" w:rsidP="00932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3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Secuencia Didáctica</w:t>
            </w:r>
          </w:p>
        </w:tc>
        <w:tc>
          <w:tcPr>
            <w:tcW w:w="8906" w:type="dxa"/>
          </w:tcPr>
          <w:p w:rsidR="00A75C66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501C7">
              <w:rPr>
                <w:rFonts w:ascii="Arial" w:hAnsi="Arial" w:cs="Arial"/>
                <w:sz w:val="24"/>
                <w:szCs w:val="24"/>
              </w:rPr>
              <w:t>s un conjunto de actividades de aprendizaje i</w:t>
            </w:r>
            <w:r>
              <w:rPr>
                <w:rFonts w:ascii="Arial" w:hAnsi="Arial" w:cs="Arial"/>
                <w:sz w:val="24"/>
                <w:szCs w:val="24"/>
              </w:rPr>
              <w:t xml:space="preserve">nterrelacionadas entre sí </w:t>
            </w:r>
            <w:r w:rsidRPr="000501C7">
              <w:rPr>
                <w:rFonts w:ascii="Arial" w:hAnsi="Arial" w:cs="Arial"/>
                <w:sz w:val="24"/>
                <w:szCs w:val="24"/>
              </w:rPr>
              <w:t xml:space="preserve">orientadas a la elaboración de un producto </w:t>
            </w:r>
            <w:r>
              <w:rPr>
                <w:rFonts w:ascii="Arial" w:hAnsi="Arial" w:cs="Arial"/>
                <w:sz w:val="24"/>
                <w:szCs w:val="24"/>
              </w:rPr>
              <w:t xml:space="preserve">educativo </w:t>
            </w:r>
            <w:r w:rsidRPr="000501C7">
              <w:rPr>
                <w:rFonts w:ascii="Arial" w:hAnsi="Arial" w:cs="Arial"/>
                <w:sz w:val="24"/>
                <w:szCs w:val="24"/>
              </w:rPr>
              <w:t>final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50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que responda al dominio de los contenidos con base a los resultados de aprendizaje, y tiene como  finalidad </w:t>
            </w:r>
            <w:r w:rsidRPr="000501C7">
              <w:rPr>
                <w:rFonts w:ascii="Arial" w:hAnsi="Arial" w:cs="Arial"/>
                <w:sz w:val="24"/>
                <w:szCs w:val="24"/>
              </w:rPr>
              <w:t>ordenar</w:t>
            </w:r>
            <w:r>
              <w:rPr>
                <w:rFonts w:ascii="Arial" w:hAnsi="Arial" w:cs="Arial"/>
                <w:sz w:val="24"/>
                <w:szCs w:val="24"/>
              </w:rPr>
              <w:t xml:space="preserve"> y guiar el proceso de aprender y enseñar realizado por el</w:t>
            </w:r>
            <w:r w:rsidRPr="000501C7">
              <w:rPr>
                <w:rFonts w:ascii="Arial" w:hAnsi="Arial" w:cs="Arial"/>
                <w:sz w:val="24"/>
                <w:szCs w:val="24"/>
              </w:rPr>
              <w:t xml:space="preserve"> educador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5C66" w:rsidRPr="007150A4" w:rsidRDefault="00A75C66" w:rsidP="002C62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10EF" w:rsidRDefault="00B710EF"/>
    <w:p w:rsidR="00A75C66" w:rsidRPr="000C15CE" w:rsidRDefault="00A75C66">
      <w:pPr>
        <w:rPr>
          <w:rFonts w:ascii="Arial" w:hAnsi="Arial" w:cs="Arial"/>
          <w:b/>
          <w:sz w:val="24"/>
        </w:rPr>
      </w:pPr>
      <w:r w:rsidRPr="000C15CE">
        <w:rPr>
          <w:rFonts w:ascii="Arial" w:hAnsi="Arial" w:cs="Arial"/>
          <w:b/>
          <w:sz w:val="24"/>
        </w:rPr>
        <w:t>BIBLIOGRAFÍA:</w:t>
      </w:r>
    </w:p>
    <w:p w:rsidR="000C15CE" w:rsidRDefault="000C15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-Ander-Egg, Ezequiel. Diccionario de Pedagogía. Segunda edición. Editorial Magisterio Del Rio De La Plata. Argentina. 1999.</w:t>
      </w:r>
    </w:p>
    <w:p w:rsidR="000C15CE" w:rsidRDefault="000C15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Barberá</w:t>
      </w:r>
      <w:proofErr w:type="spellEnd"/>
      <w:r>
        <w:rPr>
          <w:rFonts w:ascii="Arial" w:hAnsi="Arial" w:cs="Arial"/>
          <w:sz w:val="24"/>
        </w:rPr>
        <w:t xml:space="preserve">, E y </w:t>
      </w:r>
      <w:proofErr w:type="spellStart"/>
      <w:r>
        <w:rPr>
          <w:rFonts w:ascii="Arial" w:hAnsi="Arial" w:cs="Arial"/>
          <w:sz w:val="24"/>
        </w:rPr>
        <w:t>Romiszowski</w:t>
      </w:r>
      <w:proofErr w:type="spellEnd"/>
      <w:r>
        <w:rPr>
          <w:rFonts w:ascii="Arial" w:hAnsi="Arial" w:cs="Arial"/>
          <w:sz w:val="24"/>
        </w:rPr>
        <w:t>, A. Educación Abierta y a Distancia. Editorial UOC. España. 2006.</w:t>
      </w:r>
    </w:p>
    <w:p w:rsidR="000C15CE" w:rsidRDefault="000C15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-Bolaños, G y Bogantes, Z. Introducción al Currículo. Editorial Universidad Estatal a Distancia. Costa Rica. 2005.</w:t>
      </w:r>
    </w:p>
    <w:p w:rsidR="000C15CE" w:rsidRDefault="000C15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-Londoño, G y Cano, E. Formación y Evaluación por Competencias en Educación Superior. Ediciones </w:t>
      </w:r>
      <w:proofErr w:type="spellStart"/>
      <w:r>
        <w:rPr>
          <w:rFonts w:ascii="Arial" w:hAnsi="Arial" w:cs="Arial"/>
          <w:sz w:val="24"/>
        </w:rPr>
        <w:t>Unisalle</w:t>
      </w:r>
      <w:proofErr w:type="spellEnd"/>
      <w:r>
        <w:rPr>
          <w:rFonts w:ascii="Arial" w:hAnsi="Arial" w:cs="Arial"/>
          <w:sz w:val="24"/>
        </w:rPr>
        <w:t>. Universidad de La Salle. Colombia. 2015.</w:t>
      </w:r>
    </w:p>
    <w:p w:rsidR="000C15CE" w:rsidRDefault="00D76B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Millán</w:t>
      </w:r>
      <w:proofErr w:type="gramStart"/>
      <w:r>
        <w:rPr>
          <w:rFonts w:ascii="Arial" w:hAnsi="Arial" w:cs="Arial"/>
          <w:sz w:val="24"/>
        </w:rPr>
        <w:t>,</w:t>
      </w:r>
      <w:r w:rsidR="000C15CE">
        <w:rPr>
          <w:rFonts w:ascii="Arial" w:hAnsi="Arial" w:cs="Arial"/>
          <w:sz w:val="24"/>
        </w:rPr>
        <w:t>J</w:t>
      </w:r>
      <w:proofErr w:type="spellEnd"/>
      <w:proofErr w:type="gramEnd"/>
      <w:r w:rsidR="000C15CE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Palés, J; y Morán, I. Principios de Educación Médica. Editorial Médica Panamericana. España. 2015.</w:t>
      </w:r>
    </w:p>
    <w:p w:rsidR="00A75C66" w:rsidRPr="00A75C66" w:rsidRDefault="00A75C66">
      <w:pPr>
        <w:rPr>
          <w:rFonts w:ascii="Arial" w:hAnsi="Arial" w:cs="Arial"/>
          <w:sz w:val="24"/>
        </w:rPr>
      </w:pPr>
    </w:p>
    <w:p w:rsidR="00A75C66" w:rsidRDefault="00A75C66"/>
    <w:sectPr w:rsidR="00A75C66" w:rsidSect="004027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D"/>
    <w:rsid w:val="0003344A"/>
    <w:rsid w:val="000501C7"/>
    <w:rsid w:val="000C15CE"/>
    <w:rsid w:val="00166088"/>
    <w:rsid w:val="001C2720"/>
    <w:rsid w:val="0023041B"/>
    <w:rsid w:val="002A00DF"/>
    <w:rsid w:val="0031472B"/>
    <w:rsid w:val="004027BD"/>
    <w:rsid w:val="00430A10"/>
    <w:rsid w:val="0056634C"/>
    <w:rsid w:val="0061508E"/>
    <w:rsid w:val="00884A77"/>
    <w:rsid w:val="00894D45"/>
    <w:rsid w:val="008E3282"/>
    <w:rsid w:val="009328D4"/>
    <w:rsid w:val="00A32D4E"/>
    <w:rsid w:val="00A75C66"/>
    <w:rsid w:val="00AE7F03"/>
    <w:rsid w:val="00B710EF"/>
    <w:rsid w:val="00BE49E5"/>
    <w:rsid w:val="00BF5230"/>
    <w:rsid w:val="00D76B0C"/>
    <w:rsid w:val="00DB51EA"/>
    <w:rsid w:val="00E06609"/>
    <w:rsid w:val="00E14477"/>
    <w:rsid w:val="00EE04C6"/>
    <w:rsid w:val="00F10505"/>
    <w:rsid w:val="00FA33CC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A1C8-79E9-452C-A748-9DF5D0C4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AURORA</cp:lastModifiedBy>
  <cp:revision>13</cp:revision>
  <dcterms:created xsi:type="dcterms:W3CDTF">2022-01-06T16:06:00Z</dcterms:created>
  <dcterms:modified xsi:type="dcterms:W3CDTF">2022-01-16T00:21:00Z</dcterms:modified>
</cp:coreProperties>
</file>